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токолы-совещаний-2013-года"/>
    <w:p>
      <w:pPr>
        <w:pStyle w:val="Heading3"/>
      </w:pPr>
      <w:r>
        <w:t xml:space="preserve">Протоколы совещаний 2013 года</w:t>
      </w:r>
    </w:p>
    <w:p>
      <w:pPr>
        <w:pStyle w:val="FirstParagraph"/>
      </w:pPr>
      <w:r>
        <w:t xml:space="preserve">05.05.2015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http://gagarin.mos.ru/anti-corruption/the-commission-for-observance-of-requirements-for-the-official-behaviour-of-state-civil-employees-of/detail/1819475.html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Гагаринского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garin.mos.ru" TargetMode="External" /><Relationship Type="http://schemas.openxmlformats.org/officeDocument/2006/relationships/hyperlink" Id="rId20" Target="http://gagarin.mos.ru/anti-corruption/the-commission-for-observance-of-requirements-for-the-official-behaviour-of-state-civil-employees-of/detail/18194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garin.mos.ru" TargetMode="External" /><Relationship Type="http://schemas.openxmlformats.org/officeDocument/2006/relationships/hyperlink" Id="rId20" Target="http://gagarin.mos.ru/anti-corruption/the-commission-for-observance-of-requirements-for-the-official-behaviour-of-state-civil-employees-of/detail/18194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2025-04-14T07:50:03Z</dcterms:created>
  <dcterms:modified xsi:type="dcterms:W3CDTF">2025-04-14T07:50:03Z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