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9cccc0bdf5dc930c6ed1b60a01dd7ba0f3bde"/>
    <w:p>
      <w:pPr>
        <w:pStyle w:val="Heading3"/>
      </w:pPr>
      <w:r>
        <w:t xml:space="preserve">Приказ о создании Комиссии по соблюдению требований к служебному поведению государственных гражданских служащих управы Гагаринского района</w:t>
      </w:r>
    </w:p>
    <w:p>
      <w:pPr>
        <w:pStyle w:val="FirstParagraph"/>
      </w:pPr>
      <w:r>
        <w:t xml:space="preserve">08.08.2019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http://gagarin.mos.ru/anti-corruption/the-commission-for-observance-of-requirements-for-the-official-behaviour-of-state-civil-employees-of/detail/8272116.html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anti-corruption/the-commission-for-observance-of-requirements-for-the-official-behaviour-of-state-civil-employees-of/detail/82721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anti-corruption/the-commission-for-observance-of-requirements-for-the-official-behaviour-of-state-civil-employees-of/detail/82721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2025-04-14T07:49:58Z</dcterms:created>
  <dcterms:modified xsi:type="dcterms:W3CDTF">2025-04-14T07:49:58Z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